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563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C01E7E" w14:paraId="54E9D862" w14:textId="77777777" w:rsidTr="00C01E7E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05043600" w14:textId="77777777" w:rsidR="00C01E7E" w:rsidRDefault="00C01E7E" w:rsidP="00C01E7E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0D983ED2" w14:textId="77777777" w:rsidR="00C01E7E" w:rsidRDefault="00C01E7E" w:rsidP="00C01E7E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24AEC732" w14:textId="77777777" w:rsidR="00C01E7E" w:rsidRDefault="00C01E7E" w:rsidP="00C01E7E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601C98E3" w14:textId="77777777" w:rsidR="00C01E7E" w:rsidRDefault="00C01E7E" w:rsidP="00C01E7E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4422207F" w14:textId="77777777" w:rsidR="00C01E7E" w:rsidRDefault="00C01E7E" w:rsidP="00C01E7E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6C456E6B" w14:textId="77777777" w:rsidR="00C01E7E" w:rsidRDefault="00C01E7E" w:rsidP="00C01E7E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3EA9E73F" w14:textId="77777777" w:rsidR="00C01E7E" w:rsidRDefault="00C01E7E" w:rsidP="00C01E7E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171936C7" w14:textId="77777777" w:rsidR="00C01E7E" w:rsidRDefault="00C01E7E" w:rsidP="00C01E7E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3D57306F" w14:textId="77777777" w:rsidR="00C01E7E" w:rsidRDefault="00C01E7E" w:rsidP="00C01E7E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C01E7E" w14:paraId="446D4FA4" w14:textId="77777777" w:rsidTr="00C01E7E">
        <w:trPr>
          <w:trHeight w:val="427"/>
        </w:trPr>
        <w:tc>
          <w:tcPr>
            <w:tcW w:w="618" w:type="pct"/>
            <w:vMerge/>
          </w:tcPr>
          <w:p w14:paraId="2A1EFB13" w14:textId="77777777" w:rsidR="00C01E7E" w:rsidRDefault="00C01E7E" w:rsidP="00C01E7E"/>
        </w:tc>
        <w:tc>
          <w:tcPr>
            <w:tcW w:w="628" w:type="pct"/>
            <w:vMerge/>
          </w:tcPr>
          <w:p w14:paraId="0192C8B8" w14:textId="77777777" w:rsidR="00C01E7E" w:rsidRDefault="00C01E7E" w:rsidP="00C01E7E"/>
        </w:tc>
        <w:tc>
          <w:tcPr>
            <w:tcW w:w="448" w:type="pct"/>
            <w:vMerge/>
          </w:tcPr>
          <w:p w14:paraId="772AF2E3" w14:textId="77777777" w:rsidR="00C01E7E" w:rsidRDefault="00C01E7E" w:rsidP="00C01E7E"/>
        </w:tc>
        <w:tc>
          <w:tcPr>
            <w:tcW w:w="453" w:type="pct"/>
            <w:vMerge/>
          </w:tcPr>
          <w:p w14:paraId="45B4E993" w14:textId="77777777" w:rsidR="00C01E7E" w:rsidRDefault="00C01E7E" w:rsidP="00C01E7E"/>
        </w:tc>
        <w:tc>
          <w:tcPr>
            <w:tcW w:w="341" w:type="pct"/>
            <w:vMerge/>
          </w:tcPr>
          <w:p w14:paraId="48717C33" w14:textId="77777777" w:rsidR="00C01E7E" w:rsidRDefault="00C01E7E" w:rsidP="00C01E7E"/>
        </w:tc>
        <w:tc>
          <w:tcPr>
            <w:tcW w:w="1957" w:type="pct"/>
            <w:vMerge/>
          </w:tcPr>
          <w:p w14:paraId="44B69B86" w14:textId="77777777" w:rsidR="00C01E7E" w:rsidRDefault="00C01E7E" w:rsidP="00C01E7E"/>
        </w:tc>
        <w:tc>
          <w:tcPr>
            <w:tcW w:w="555" w:type="pct"/>
            <w:vMerge/>
          </w:tcPr>
          <w:p w14:paraId="2C794C35" w14:textId="77777777" w:rsidR="00C01E7E" w:rsidRDefault="00C01E7E" w:rsidP="00C01E7E"/>
        </w:tc>
      </w:tr>
      <w:tr w:rsidR="00C01E7E" w14:paraId="7717EC94" w14:textId="77777777" w:rsidTr="00C01E7E">
        <w:trPr>
          <w:trHeight w:val="1304"/>
        </w:trPr>
        <w:tc>
          <w:tcPr>
            <w:tcW w:w="618" w:type="pct"/>
            <w:vAlign w:val="center"/>
          </w:tcPr>
          <w:p w14:paraId="30951DDF" w14:textId="77777777" w:rsidR="00C01E7E" w:rsidRDefault="00C01E7E" w:rsidP="00C01E7E">
            <w:pPr>
              <w:ind w:left="48"/>
            </w:pPr>
            <w:r>
              <w:rPr>
                <w:rFonts w:ascii="Arial" w:eastAsia="Arial" w:hAnsi="Arial" w:cs="Arial"/>
                <w:sz w:val="13"/>
              </w:rPr>
              <w:t>Proyectos de corresponsabilidad social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63A7BEF0" w14:textId="77777777" w:rsidR="00C01E7E" w:rsidRDefault="00C01E7E" w:rsidP="00C01E7E">
            <w:pPr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3554EF9B" w14:textId="77777777" w:rsidR="00C01E7E" w:rsidRDefault="00C01E7E" w:rsidP="00C01E7E">
            <w:pPr>
              <w:ind w:left="-6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t xml:space="preserve"> </w:t>
            </w:r>
          </w:p>
          <w:p w14:paraId="1678CECC" w14:textId="77777777" w:rsidR="00C01E7E" w:rsidRDefault="00C01E7E" w:rsidP="00C01E7E">
            <w:pPr>
              <w:spacing w:after="2"/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</w:p>
          <w:p w14:paraId="33A23882" w14:textId="77777777" w:rsidR="00C01E7E" w:rsidRDefault="00C01E7E" w:rsidP="00C01E7E">
            <w:pPr>
              <w:ind w:left="24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715EA93E" w14:textId="77777777" w:rsidR="00C01E7E" w:rsidRDefault="00C01E7E" w:rsidP="00C01E7E">
            <w:pPr>
              <w:ind w:left="4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578F9D71" w14:textId="77777777" w:rsidR="00C01E7E" w:rsidRDefault="00C01E7E" w:rsidP="00C01E7E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3B97E3E0" w14:textId="77777777" w:rsidR="00C01E7E" w:rsidRDefault="00C01E7E" w:rsidP="00C01E7E">
            <w:pPr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1957" w:type="pct"/>
          </w:tcPr>
          <w:p w14:paraId="4D0DCA76" w14:textId="77777777" w:rsidR="00C01E7E" w:rsidRDefault="00C01E7E" w:rsidP="00C01E7E">
            <w:pPr>
              <w:ind w:left="48"/>
            </w:pPr>
            <w:r>
              <w:rPr>
                <w:i/>
                <w:sz w:val="12"/>
              </w:rPr>
              <w:t>AM</w:t>
            </w:r>
            <w:r>
              <w:rPr>
                <w:rFonts w:ascii="Cambria Math" w:eastAsia="Cambria Math" w:hAnsi="Cambria Math" w:cs="Cambria Math"/>
                <w:sz w:val="12"/>
              </w:rPr>
              <w:t>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2 </w:t>
            </w:r>
            <w:r>
              <w:rPr>
                <w:rFonts w:ascii="Cambria Math" w:eastAsia="Cambria Math" w:hAnsi="Cambria Math" w:cs="Cambria Math"/>
                <w:sz w:val="12"/>
              </w:rPr>
              <w:t>−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251CF2A7" w14:textId="77777777" w:rsidR="00C01E7E" w:rsidRDefault="00C01E7E" w:rsidP="00C01E7E">
            <w:pPr>
              <w:ind w:left="29" w:right="95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AM = Avance de meta n1= Línea </w:t>
            </w:r>
          </w:p>
          <w:p w14:paraId="6295A5B7" w14:textId="77777777" w:rsidR="00C01E7E" w:rsidRDefault="00C01E7E" w:rsidP="00C01E7E">
            <w:pPr>
              <w:spacing w:after="47"/>
              <w:ind w:left="29" w:right="1055"/>
            </w:pPr>
            <w:r>
              <w:rPr>
                <w:rFonts w:ascii="Arial" w:eastAsia="Arial" w:hAnsi="Arial" w:cs="Arial"/>
                <w:sz w:val="11"/>
              </w:rPr>
              <w:t xml:space="preserve">Base n2=Meta 2015-2018 n3=Meta del año 1 n4=Meta del año 2 n5=Meta del año </w:t>
            </w:r>
          </w:p>
          <w:p w14:paraId="22034E66" w14:textId="77777777" w:rsidR="00C01E7E" w:rsidRDefault="00C01E7E" w:rsidP="00C01E7E">
            <w:pPr>
              <w:ind w:left="29"/>
            </w:pPr>
            <w:r>
              <w:rPr>
                <w:rFonts w:ascii="Arial" w:eastAsia="Arial" w:hAnsi="Arial" w:cs="Arial"/>
                <w:sz w:val="11"/>
              </w:rPr>
              <w:t>10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73E36EA0" w14:textId="77777777" w:rsidR="00C01E7E" w:rsidRDefault="00C01E7E" w:rsidP="00C01E7E">
            <w:pPr>
              <w:ind w:left="18"/>
              <w:jc w:val="center"/>
            </w:pPr>
            <w:r>
              <w:rPr>
                <w:rFonts w:ascii="Arial" w:eastAsia="Arial" w:hAnsi="Arial" w:cs="Arial"/>
                <w:sz w:val="12"/>
              </w:rPr>
              <w:t>167%</w:t>
            </w:r>
            <w:r>
              <w:t xml:space="preserve"> </w:t>
            </w:r>
          </w:p>
        </w:tc>
      </w:tr>
    </w:tbl>
    <w:p w14:paraId="6BDBDEBA" w14:textId="27927928" w:rsidR="00000000" w:rsidRDefault="00C01E7E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6CFC743D" wp14:editId="7FF40A21">
            <wp:simplePos x="0" y="0"/>
            <wp:positionH relativeFrom="margin">
              <wp:align>center</wp:align>
            </wp:positionH>
            <wp:positionV relativeFrom="paragraph">
              <wp:posOffset>4708634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4EB">
        <w:rPr>
          <w:noProof/>
        </w:rPr>
        <w:drawing>
          <wp:inline distT="0" distB="0" distL="0" distR="0" wp14:anchorId="6BBC02E1" wp14:editId="5035A3ED">
            <wp:extent cx="2134800" cy="932400"/>
            <wp:effectExtent l="0" t="0" r="0" b="1270"/>
            <wp:docPr id="6994444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8E0C9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E6"/>
    <w:rsid w:val="00542764"/>
    <w:rsid w:val="0089529A"/>
    <w:rsid w:val="008E0C9B"/>
    <w:rsid w:val="00B62DE6"/>
    <w:rsid w:val="00C01E7E"/>
    <w:rsid w:val="00E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6EB8"/>
  <w15:chartTrackingRefBased/>
  <w15:docId w15:val="{959CEF38-A9E5-4E48-98B2-BC08423B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6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62DE6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2017-02-21T22:13:00Z</dcterms:created>
  <dcterms:modified xsi:type="dcterms:W3CDTF">2024-01-30T19:27:00Z</dcterms:modified>
</cp:coreProperties>
</file>